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firstLine="720"/>
        <w:jc w:val="right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Приложение №3</w:t>
      </w:r>
    </w:p>
    <w:p w14:paraId="02000000">
      <w:pPr>
        <w:widowControl w:val="1"/>
        <w:ind w:firstLine="0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МЕТОДИКА</w:t>
      </w:r>
    </w:p>
    <w:p w14:paraId="03000000">
      <w:pPr>
        <w:widowControl w:val="1"/>
        <w:ind w:firstLine="0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расчета начальной (минимальной) цены договора на размещение нестационарного торгового объекта</w:t>
      </w:r>
      <w:r>
        <w:rPr>
          <w:rFonts w:ascii="XO Thames" w:hAnsi="XO Thames"/>
          <w:sz w:val="28"/>
        </w:rPr>
        <w:t>, в том числе объекта по оказанию услуг,</w:t>
      </w:r>
      <w:r>
        <w:rPr>
          <w:rFonts w:ascii="XO Thames" w:hAnsi="XO Thames"/>
          <w:sz w:val="28"/>
        </w:rPr>
        <w:t xml:space="preserve"> в местах согласно схеме размещения нестационарных торговых объектов</w:t>
      </w:r>
      <w:r>
        <w:rPr>
          <w:rFonts w:ascii="XO Thames" w:hAnsi="XO Thames"/>
          <w:sz w:val="28"/>
        </w:rPr>
        <w:t>, в том числе объектов по оказанию услуг,</w:t>
      </w:r>
      <w:r>
        <w:rPr>
          <w:rFonts w:ascii="XO Thames" w:hAnsi="XO Thames"/>
          <w:sz w:val="28"/>
        </w:rPr>
        <w:t xml:space="preserve"> на территории Кашинск</w:t>
      </w:r>
      <w:r>
        <w:rPr>
          <w:rFonts w:ascii="XO Thames" w:hAnsi="XO Thames"/>
          <w:sz w:val="28"/>
        </w:rPr>
        <w:t>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муниципального </w:t>
      </w:r>
      <w:r>
        <w:rPr>
          <w:rFonts w:ascii="XO Thames" w:hAnsi="XO Thames"/>
          <w:sz w:val="28"/>
        </w:rPr>
        <w:t>округ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Тверской области</w:t>
      </w:r>
    </w:p>
    <w:p w14:paraId="04000000">
      <w:pPr>
        <w:widowControl w:val="1"/>
        <w:ind w:firstLine="0"/>
        <w:jc w:val="both"/>
        <w:rPr>
          <w:rFonts w:ascii="XO Thames" w:hAnsi="XO Thames"/>
          <w:sz w:val="28"/>
        </w:rPr>
      </w:pPr>
    </w:p>
    <w:p w14:paraId="05000000">
      <w:pPr>
        <w:widowControl w:val="1"/>
        <w:ind w:firstLine="0"/>
        <w:jc w:val="both"/>
        <w:rPr>
          <w:rFonts w:ascii="XO Thames" w:hAnsi="XO Thames"/>
          <w:sz w:val="28"/>
        </w:rPr>
      </w:pPr>
    </w:p>
    <w:p w14:paraId="06000000">
      <w:pPr>
        <w:widowControl w:val="1"/>
        <w:numPr>
          <w:ilvl w:val="0"/>
          <w:numId w:val="1"/>
        </w:num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Настоящая Методика определяет порядок расчета начальной (минимальной) цены договора на размещение нестационарного торгового объекта</w:t>
      </w:r>
      <w:r>
        <w:rPr>
          <w:rFonts w:ascii="XO Thames" w:hAnsi="XO Thames"/>
          <w:sz w:val="28"/>
        </w:rPr>
        <w:t>, в том числе объекта по оказанию услуг</w:t>
      </w:r>
      <w:r>
        <w:rPr>
          <w:rFonts w:ascii="XO Thames" w:hAnsi="XO Thames"/>
          <w:sz w:val="28"/>
        </w:rPr>
        <w:t xml:space="preserve"> (далее - объект), в местах согласно схеме размещения нестационарных торговых объектов</w:t>
      </w:r>
      <w:r>
        <w:rPr>
          <w:rFonts w:ascii="XO Thames" w:hAnsi="XO Thames"/>
          <w:sz w:val="28"/>
        </w:rPr>
        <w:t>, в том числе объектов по оказанию услуг,</w:t>
      </w:r>
      <w:r>
        <w:rPr>
          <w:rFonts w:ascii="XO Thames" w:hAnsi="XO Thames"/>
          <w:sz w:val="28"/>
        </w:rPr>
        <w:t xml:space="preserve"> на территории Кашинск</w:t>
      </w:r>
      <w:r>
        <w:rPr>
          <w:rFonts w:ascii="XO Thames" w:hAnsi="XO Thames"/>
          <w:sz w:val="28"/>
        </w:rPr>
        <w:t>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муниципального </w:t>
      </w:r>
      <w:r>
        <w:rPr>
          <w:rFonts w:ascii="XO Thames" w:hAnsi="XO Thames"/>
          <w:sz w:val="28"/>
        </w:rPr>
        <w:t>округ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Тверской области  (далее – Договор).</w:t>
      </w:r>
    </w:p>
    <w:p w14:paraId="07000000">
      <w:pPr>
        <w:widowControl w:val="1"/>
        <w:ind w:firstLine="0"/>
        <w:jc w:val="both"/>
        <w:rPr>
          <w:rFonts w:ascii="XO Thames" w:hAnsi="XO Thames"/>
          <w:sz w:val="28"/>
        </w:rPr>
      </w:pPr>
    </w:p>
    <w:p w14:paraId="08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Расчет начальной (минимальной) цены Договора</w:t>
      </w:r>
    </w:p>
    <w:p w14:paraId="09000000">
      <w:pPr>
        <w:widowControl w:val="1"/>
        <w:ind w:firstLine="0"/>
        <w:jc w:val="both"/>
        <w:rPr>
          <w:rFonts w:ascii="XO Thames" w:hAnsi="XO Thames"/>
          <w:sz w:val="28"/>
        </w:rPr>
      </w:pPr>
    </w:p>
    <w:p w14:paraId="0A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Расчет начальной цены Договора (без НДС) осуществляется по формуле:</w:t>
      </w:r>
    </w:p>
    <w:p w14:paraId="0B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C = Z x S x Ктип x Кспец x Км x 12 (месяцев),</w:t>
      </w: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0D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где:</w:t>
      </w:r>
    </w:p>
    <w:p w14:paraId="0E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C - начальная цена Договора за один год. Если Договор заключается на срок менее года, - значение C делится на 365 и умножается на количество дней, равных периоду размещения объекта, руб.;</w:t>
      </w:r>
    </w:p>
    <w:p w14:paraId="0F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Z - </w:t>
      </w:r>
      <w:r>
        <w:rPr>
          <w:rFonts w:ascii="XO Thames" w:hAnsi="XO Thames"/>
          <w:sz w:val="28"/>
        </w:rPr>
        <w:t>базовая ставка за один квадратный метр площади, предоставляемой под размещение объекта, которая равна среднему уровню кадастровой стоимости по Кашинскому муниципальному округа Тверской области, утвержденным приказом Министерства имущественных и земельных отношений Тверской области от 28.11.2022 N 9-нп (ред. от 17.02.2025) «Об утверждении результатов определения кадастровой стоимости земельных участков, расположенных на территории Тверской области»;</w:t>
      </w:r>
    </w:p>
    <w:p w14:paraId="10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S - площадь объекта в соответствии с заключенным Договором, кв. м;</w:t>
      </w:r>
    </w:p>
    <w:p w14:paraId="11000000">
      <w:pPr>
        <w:widowControl w:val="1"/>
        <w:ind w:firstLine="709"/>
        <w:jc w:val="both"/>
        <w:rPr>
          <w:rFonts w:ascii="XO Thames" w:hAnsi="XO Thames"/>
          <w:color w:themeColor="text1" w:val="000000"/>
          <w:sz w:val="28"/>
        </w:rPr>
      </w:pPr>
      <w:r>
        <w:rPr>
          <w:rFonts w:ascii="XO Thames" w:hAnsi="XO Thames"/>
          <w:sz w:val="28"/>
        </w:rPr>
        <w:t xml:space="preserve">Ктип - корректирующий коэффициент типа объекта </w:t>
      </w:r>
      <w:r>
        <w:rPr>
          <w:rFonts w:ascii="XO Thames" w:hAnsi="XO Thames"/>
          <w:color w:themeColor="text1" w:val="000000"/>
          <w:sz w:val="28"/>
        </w:rPr>
        <w:t>(таблица № 1)</w:t>
      </w:r>
      <w:r>
        <w:rPr>
          <w:rFonts w:ascii="XO Thames" w:hAnsi="XO Thames"/>
          <w:color w:themeColor="text1" w:val="000000"/>
          <w:sz w:val="28"/>
        </w:rPr>
        <w:t>;</w:t>
      </w:r>
    </w:p>
    <w:p w14:paraId="12000000">
      <w:pPr>
        <w:widowControl w:val="1"/>
        <w:ind w:firstLine="709"/>
        <w:jc w:val="both"/>
        <w:rPr>
          <w:rFonts w:ascii="XO Thames" w:hAnsi="XO Thames"/>
          <w:color w:themeColor="text1" w:val="000000"/>
          <w:sz w:val="28"/>
        </w:rPr>
      </w:pPr>
      <w:r>
        <w:rPr>
          <w:rFonts w:ascii="XO Thames" w:hAnsi="XO Thames"/>
          <w:sz w:val="28"/>
        </w:rPr>
        <w:t xml:space="preserve">Кспец - корректирующий коэффициент специализации объекта </w:t>
      </w:r>
      <w:r>
        <w:rPr>
          <w:rFonts w:ascii="XO Thames" w:hAnsi="XO Thames"/>
          <w:color w:themeColor="text1" w:val="000000"/>
          <w:sz w:val="28"/>
        </w:rPr>
        <w:t xml:space="preserve">(таблица </w:t>
      </w:r>
      <w:r>
        <w:rPr>
          <w:rFonts w:ascii="XO Thames" w:hAnsi="XO Thames"/>
          <w:color w:themeColor="text1" w:val="000000"/>
          <w:sz w:val="28"/>
        </w:rPr>
        <w:t>№2)</w:t>
      </w:r>
      <w:r>
        <w:rPr>
          <w:rFonts w:ascii="XO Thames" w:hAnsi="XO Thames"/>
          <w:color w:themeColor="text1" w:val="000000"/>
          <w:sz w:val="28"/>
        </w:rPr>
        <w:t>;</w:t>
      </w:r>
    </w:p>
    <w:p w14:paraId="13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Км - корректирующий коэффициент месторасположения </w:t>
      </w:r>
      <w:r>
        <w:rPr>
          <w:rFonts w:ascii="XO Thames" w:hAnsi="XO Thames"/>
          <w:color w:themeColor="text1" w:val="000000"/>
          <w:sz w:val="28"/>
        </w:rPr>
        <w:t xml:space="preserve">объекта </w:t>
      </w:r>
      <w:r>
        <w:rPr>
          <w:rFonts w:ascii="XO Thames" w:hAnsi="XO Thames"/>
          <w:color w:themeColor="text1" w:val="000000"/>
          <w:sz w:val="28"/>
        </w:rPr>
        <w:t>(таблица №3)</w:t>
      </w:r>
      <w:r>
        <w:rPr>
          <w:rFonts w:ascii="XO Thames" w:hAnsi="XO Thames"/>
          <w:sz w:val="28"/>
        </w:rPr>
        <w:t>.</w:t>
      </w:r>
    </w:p>
    <w:p w14:paraId="14000000">
      <w:pPr>
        <w:widowControl w:val="1"/>
        <w:ind w:firstLine="0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Таблица № 1</w:t>
      </w:r>
    </w:p>
    <w:p w14:paraId="15000000">
      <w:pPr>
        <w:widowControl w:val="1"/>
        <w:ind w:firstLine="0"/>
        <w:jc w:val="both"/>
        <w:rPr>
          <w:rFonts w:ascii="XO Thames" w:hAnsi="XO Thames"/>
          <w:sz w:val="28"/>
        </w:rPr>
      </w:pPr>
    </w:p>
    <w:p w14:paraId="16000000">
      <w:pPr>
        <w:widowControl w:val="1"/>
        <w:ind w:firstLine="0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Значения коэффициента типа объекта (Ктип)</w:t>
      </w:r>
    </w:p>
    <w:p w14:paraId="17000000">
      <w:pPr>
        <w:widowControl w:val="1"/>
        <w:ind w:firstLine="0"/>
        <w:jc w:val="center"/>
        <w:rPr>
          <w:rFonts w:ascii="XO Thames" w:hAnsi="XO Thames"/>
          <w:sz w:val="28"/>
        </w:rPr>
      </w:pP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3"/>
        <w:gridCol w:w="7513"/>
        <w:gridCol w:w="1417"/>
      </w:tblGrid>
      <w:tr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№ п/п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Тип объекта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Ктип</w:t>
            </w:r>
          </w:p>
        </w:tc>
      </w:tr>
      <w:tr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1.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rPr>
                <w:sz w:val="24"/>
              </w:rPr>
            </w:pPr>
            <w:r>
              <w:rPr>
                <w:sz w:val="24"/>
              </w:rPr>
              <w:t>Павильон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0,7</w:t>
            </w:r>
          </w:p>
        </w:tc>
      </w:tr>
      <w:tr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2.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rPr>
                <w:sz w:val="24"/>
              </w:rPr>
            </w:pPr>
            <w:r>
              <w:rPr>
                <w:sz w:val="24"/>
              </w:rPr>
              <w:t>Киоск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1,5</w:t>
            </w:r>
          </w:p>
        </w:tc>
      </w:tr>
      <w:tr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3.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rPr>
                <w:sz w:val="24"/>
              </w:rPr>
            </w:pPr>
            <w:r>
              <w:rPr>
                <w:sz w:val="24"/>
              </w:rPr>
              <w:t>Палатка (место), изотермическая емкость, специализированное торгово-технологическое оборудование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rPr>
                <w:sz w:val="24"/>
              </w:rPr>
            </w:pPr>
            <w:r>
              <w:rPr>
                <w:sz w:val="24"/>
              </w:rPr>
              <w:t>Объект развозной торговли, в том числе оказания услуг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</w:tr>
      <w:tr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5.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rPr>
                <w:sz w:val="24"/>
              </w:rPr>
            </w:pPr>
            <w:r>
              <w:rPr>
                <w:sz w:val="24"/>
              </w:rPr>
              <w:t>Торговый автомат</w:t>
            </w:r>
          </w:p>
        </w:tc>
        <w:tc>
          <w:tcPr>
            <w:tcW w:type="dxa" w:w="141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6,7</w:t>
            </w:r>
          </w:p>
        </w:tc>
      </w:tr>
      <w:tr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6.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rPr>
                <w:sz w:val="24"/>
              </w:rPr>
            </w:pPr>
            <w:r>
              <w:rPr>
                <w:sz w:val="24"/>
              </w:rPr>
              <w:t>Сезонное кафе, фудтрак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widowControl w:val="1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1,5</w:t>
            </w:r>
          </w:p>
        </w:tc>
      </w:tr>
    </w:tbl>
    <w:p w14:paraId="2D000000">
      <w:pPr>
        <w:widowControl w:val="1"/>
        <w:ind w:firstLine="0"/>
        <w:jc w:val="right"/>
        <w:rPr>
          <w:rFonts w:ascii="XO Thames" w:hAnsi="XO Thames"/>
          <w:sz w:val="28"/>
        </w:rPr>
      </w:pPr>
    </w:p>
    <w:p w14:paraId="2E000000">
      <w:pPr>
        <w:widowControl w:val="1"/>
        <w:ind w:firstLine="0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Таблица № 2</w:t>
      </w:r>
    </w:p>
    <w:p w14:paraId="2F000000">
      <w:pPr>
        <w:widowControl w:val="1"/>
        <w:ind w:firstLine="0"/>
        <w:jc w:val="both"/>
        <w:rPr>
          <w:rFonts w:ascii="XO Thames" w:hAnsi="XO Thames"/>
          <w:sz w:val="28"/>
        </w:rPr>
      </w:pPr>
    </w:p>
    <w:p w14:paraId="30000000">
      <w:pPr>
        <w:widowControl w:val="1"/>
        <w:ind w:firstLine="0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Значения коэффициента специализации объекта (Кспец)</w:t>
      </w:r>
    </w:p>
    <w:p w14:paraId="31000000">
      <w:pPr>
        <w:widowControl w:val="1"/>
        <w:ind w:firstLine="0"/>
        <w:jc w:val="center"/>
        <w:rPr>
          <w:rFonts w:ascii="XO Thames" w:hAnsi="XO Thames"/>
          <w:sz w:val="28"/>
        </w:rPr>
      </w:pP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13"/>
        <w:gridCol w:w="7513"/>
        <w:gridCol w:w="1417"/>
      </w:tblGrid>
      <w:tr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№ п/п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1"/>
              <w:ind w:firstLine="0" w:right="-62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Специализация объекта, ассортимент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Кспец</w:t>
            </w:r>
          </w:p>
        </w:tc>
      </w:tr>
      <w:tr>
        <w:tc>
          <w:tcPr>
            <w:tcW w:type="dxa" w:w="9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1"/>
              <w:ind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751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Продовольственные товары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widowControl w:val="1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rPr>
                <w:sz w:val="24"/>
              </w:rPr>
            </w:pPr>
            <w:r>
              <w:rPr>
                <w:sz w:val="24"/>
              </w:rPr>
              <w:t>Хлебобулочные изделия (собственного производства)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rPr>
                <w:sz w:val="24"/>
              </w:rPr>
            </w:pPr>
            <w:r>
              <w:rPr>
                <w:sz w:val="24"/>
              </w:rPr>
              <w:t>Товары сельхозпроизводителей Тверской области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rPr>
                <w:sz w:val="24"/>
              </w:rPr>
            </w:pPr>
            <w:r>
              <w:rPr>
                <w:sz w:val="24"/>
              </w:rPr>
              <w:t>Продовольственные товары в промышленной упаковке в ассортименте, включая хлебобулочные изделия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rPr>
                <w:sz w:val="24"/>
              </w:rPr>
            </w:pPr>
            <w:r>
              <w:rPr>
                <w:sz w:val="24"/>
              </w:rPr>
              <w:t>Мороженое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rPr>
                <w:sz w:val="24"/>
              </w:rPr>
            </w:pPr>
            <w:r>
              <w:rPr>
                <w:sz w:val="24"/>
              </w:rPr>
              <w:t>Кофе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rPr>
                <w:sz w:val="24"/>
              </w:rPr>
            </w:pPr>
            <w:r>
              <w:rPr>
                <w:sz w:val="24"/>
              </w:rPr>
              <w:t>Кукуруза, поп-корн, сладкая вата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rPr>
                <w:sz w:val="24"/>
              </w:rPr>
            </w:pPr>
            <w:r>
              <w:rPr>
                <w:sz w:val="24"/>
              </w:rPr>
              <w:t>Безалкогольные напитки, штучные продовольственные товары в промышленной упаковке (чипсы, орехи, кондитерские товары и т.п.)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rPr>
                <w:sz w:val="24"/>
              </w:rPr>
            </w:pPr>
            <w:r>
              <w:rPr>
                <w:sz w:val="24"/>
              </w:rPr>
              <w:t>Молочная гастрономия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rPr>
                <w:sz w:val="24"/>
              </w:rPr>
            </w:pPr>
            <w:r>
              <w:rPr>
                <w:sz w:val="24"/>
              </w:rPr>
              <w:t>Овощи - фрукты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rPr>
                <w:sz w:val="24"/>
              </w:rPr>
            </w:pPr>
            <w:r>
              <w:rPr>
                <w:sz w:val="24"/>
              </w:rPr>
              <w:t>1.7.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rPr>
                <w:sz w:val="24"/>
              </w:rPr>
            </w:pPr>
            <w:r>
              <w:rPr>
                <w:sz w:val="24"/>
              </w:rPr>
              <w:t>Квас, безалкогольные напитки, питьевая вода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rPr>
                <w:sz w:val="24"/>
              </w:rPr>
            </w:pPr>
            <w:r>
              <w:rPr>
                <w:sz w:val="24"/>
              </w:rPr>
              <w:t>1.8.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rPr>
                <w:sz w:val="24"/>
              </w:rPr>
            </w:pPr>
            <w:r>
              <w:rPr>
                <w:sz w:val="24"/>
              </w:rPr>
              <w:t>Колбасная и мясная гастрономия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rPr>
                <w:sz w:val="24"/>
              </w:rPr>
            </w:pPr>
            <w:r>
              <w:rPr>
                <w:sz w:val="24"/>
              </w:rPr>
              <w:t>1.9.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rPr>
                <w:sz w:val="24"/>
              </w:rPr>
            </w:pPr>
            <w:r>
              <w:rPr>
                <w:sz w:val="24"/>
              </w:rPr>
              <w:t>Кондитерские изделия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rPr>
                <w:sz w:val="24"/>
              </w:rPr>
            </w:pPr>
            <w:r>
              <w:rPr>
                <w:sz w:val="24"/>
              </w:rPr>
              <w:t>1.10.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rPr>
                <w:sz w:val="24"/>
              </w:rPr>
            </w:pPr>
            <w:r>
              <w:rPr>
                <w:sz w:val="24"/>
              </w:rPr>
              <w:t>Рыба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rPr>
                <w:sz w:val="24"/>
              </w:rPr>
            </w:pPr>
            <w:r>
              <w:rPr>
                <w:sz w:val="24"/>
              </w:rPr>
              <w:t>1.11.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rPr>
                <w:sz w:val="24"/>
              </w:rPr>
            </w:pPr>
            <w:r>
              <w:rPr>
                <w:sz w:val="24"/>
              </w:rPr>
              <w:t>Продовольственные товары в ассортименте,  включая пиво и табак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rPr>
                <w:sz w:val="24"/>
              </w:rPr>
            </w:pPr>
            <w:r>
              <w:rPr>
                <w:sz w:val="24"/>
              </w:rPr>
              <w:t>1.12.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rPr>
                <w:sz w:val="24"/>
              </w:rPr>
            </w:pPr>
            <w:r>
              <w:rPr>
                <w:sz w:val="24"/>
              </w:rPr>
              <w:t>Продовольственные товары в ассортименте (без пива и табака)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rPr>
                <w:sz w:val="24"/>
              </w:rPr>
            </w:pPr>
            <w:r>
              <w:rPr>
                <w:sz w:val="24"/>
              </w:rPr>
              <w:t>1.13.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rPr>
                <w:sz w:val="24"/>
              </w:rPr>
            </w:pPr>
            <w:r>
              <w:rPr>
                <w:sz w:val="24"/>
              </w:rPr>
              <w:t>Прочее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Непродовольственные товары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1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rPr>
                <w:sz w:val="24"/>
              </w:rPr>
            </w:pPr>
            <w:r>
              <w:rPr>
                <w:sz w:val="24"/>
              </w:rPr>
              <w:t>Изделия народных художественных промыслов  Тверской области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rPr>
                <w:sz w:val="24"/>
              </w:rPr>
            </w:pPr>
            <w:r>
              <w:rPr>
                <w:sz w:val="24"/>
              </w:rPr>
              <w:t>Шары, игрушки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rPr>
                <w:sz w:val="24"/>
              </w:rPr>
            </w:pPr>
            <w:r>
              <w:rPr>
                <w:sz w:val="24"/>
              </w:rPr>
              <w:t>Периодическая печать (печатная продукция)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rPr>
                <w:sz w:val="24"/>
              </w:rPr>
            </w:pPr>
            <w:r>
              <w:rPr>
                <w:sz w:val="24"/>
              </w:rPr>
              <w:t>Цветы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rPr>
                <w:sz w:val="24"/>
              </w:rPr>
            </w:pPr>
            <w:r>
              <w:rPr>
                <w:sz w:val="24"/>
              </w:rPr>
              <w:t>Сувенирная продукция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rPr>
                <w:sz w:val="24"/>
              </w:rPr>
            </w:pPr>
            <w:r>
              <w:rPr>
                <w:sz w:val="24"/>
              </w:rPr>
              <w:t>Товары бытовой химии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rPr>
                <w:sz w:val="24"/>
              </w:rPr>
            </w:pPr>
            <w:r>
              <w:rPr>
                <w:sz w:val="24"/>
              </w:rPr>
              <w:t>2.7.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rPr>
                <w:sz w:val="24"/>
              </w:rPr>
            </w:pPr>
            <w:r>
              <w:rPr>
                <w:sz w:val="24"/>
              </w:rPr>
              <w:t>Компакт диски (аудио, игры, фильмы)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rPr>
                <w:sz w:val="24"/>
              </w:rPr>
            </w:pPr>
            <w:r>
              <w:rPr>
                <w:sz w:val="24"/>
              </w:rPr>
              <w:t>2.8.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rPr>
                <w:sz w:val="24"/>
              </w:rPr>
            </w:pPr>
            <w:r>
              <w:rPr>
                <w:sz w:val="24"/>
              </w:rPr>
              <w:t>Прочее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Оказание услуг общественного питания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Бытовое обслуживание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widowControl w:val="1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rPr>
                <w:sz w:val="24"/>
              </w:rPr>
            </w:pPr>
            <w:r>
              <w:rPr>
                <w:sz w:val="24"/>
              </w:rPr>
              <w:t>Ремонт обуви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</w:p>
        </w:tc>
      </w:tr>
      <w:tr>
        <w:tc>
          <w:tcPr>
            <w:tcW w:type="dxa" w:w="91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type="dxa" w:w="751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rPr>
                <w:sz w:val="24"/>
              </w:rPr>
            </w:pPr>
            <w:r>
              <w:rPr>
                <w:sz w:val="24"/>
              </w:rPr>
              <w:t>Прочее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</w:tr>
    </w:tbl>
    <w:p w14:paraId="8F000000">
      <w:pPr>
        <w:widowControl w:val="1"/>
        <w:ind w:firstLine="0"/>
        <w:jc w:val="right"/>
        <w:rPr>
          <w:rFonts w:ascii="XO Thames" w:hAnsi="XO Thames"/>
          <w:sz w:val="28"/>
        </w:rPr>
      </w:pPr>
    </w:p>
    <w:p w14:paraId="90000000">
      <w:pPr>
        <w:widowControl w:val="1"/>
        <w:ind w:firstLine="0"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Таблица № 3</w:t>
      </w:r>
    </w:p>
    <w:p w14:paraId="91000000">
      <w:pPr>
        <w:widowControl w:val="1"/>
        <w:ind w:firstLine="0"/>
        <w:jc w:val="both"/>
        <w:rPr>
          <w:rFonts w:ascii="XO Thames" w:hAnsi="XO Thames"/>
          <w:sz w:val="28"/>
        </w:rPr>
      </w:pPr>
    </w:p>
    <w:p w14:paraId="92000000">
      <w:pPr>
        <w:widowControl w:val="1"/>
        <w:ind w:firstLine="0"/>
        <w:jc w:val="center"/>
        <w:rPr>
          <w:rFonts w:ascii="XO Thames" w:hAnsi="XO Thames"/>
          <w:color w:themeColor="text1" w:val="000000"/>
          <w:sz w:val="28"/>
        </w:rPr>
      </w:pPr>
      <w:r>
        <w:rPr>
          <w:rFonts w:ascii="XO Thames" w:hAnsi="XO Thames"/>
          <w:color w:themeColor="text1" w:val="000000"/>
          <w:sz w:val="28"/>
        </w:rPr>
        <w:t xml:space="preserve">Значения коэффициента месторасположения  </w:t>
      </w:r>
    </w:p>
    <w:p w14:paraId="93000000">
      <w:pPr>
        <w:widowControl w:val="1"/>
        <w:ind w:firstLine="0"/>
        <w:jc w:val="center"/>
        <w:rPr>
          <w:rFonts w:ascii="XO Thames" w:hAnsi="XO Thames"/>
          <w:color w:themeColor="text1" w:val="000000"/>
          <w:sz w:val="28"/>
        </w:rPr>
      </w:pPr>
      <w:r>
        <w:rPr>
          <w:rFonts w:ascii="XO Thames" w:hAnsi="XO Thames"/>
          <w:color w:themeColor="text1" w:val="000000"/>
          <w:sz w:val="28"/>
        </w:rPr>
        <w:t>нестационарного торгового объекта (Км)</w:t>
      </w:r>
    </w:p>
    <w:p w14:paraId="94000000">
      <w:pPr>
        <w:widowControl w:val="1"/>
        <w:ind w:firstLine="0"/>
        <w:jc w:val="center"/>
        <w:rPr>
          <w:rFonts w:ascii="XO Thames" w:hAnsi="XO Thames"/>
          <w:color w:themeColor="text1" w:val="000000"/>
          <w:sz w:val="28"/>
        </w:rPr>
      </w:pP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1"/>
        <w:gridCol w:w="7655"/>
        <w:gridCol w:w="1417"/>
      </w:tblGrid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</w:p>
        </w:tc>
        <w:tc>
          <w:tcPr>
            <w:tcW w:type="dxa" w:w="7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Месторасположение объекта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Км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widowControl w:val="1"/>
              <w:numPr>
                <w:ilvl w:val="0"/>
                <w:numId w:val="2"/>
              </w:numPr>
              <w:ind w:firstLine="0" w:left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7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widowControl w:val="1"/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г.Кашин Кашинского </w:t>
            </w:r>
            <w:r>
              <w:rPr>
                <w:rFonts w:ascii="XO Thames" w:hAnsi="XO Thames"/>
                <w:sz w:val="24"/>
              </w:rPr>
              <w:t>муниципального</w:t>
            </w:r>
            <w:r>
              <w:rPr>
                <w:rFonts w:ascii="XO Thames" w:hAnsi="XO Thames"/>
                <w:sz w:val="24"/>
              </w:rPr>
              <w:t xml:space="preserve"> округа</w:t>
            </w:r>
            <w:r>
              <w:rPr>
                <w:rFonts w:ascii="XO Thames" w:hAnsi="XO Thames"/>
                <w:sz w:val="24"/>
              </w:rPr>
              <w:t xml:space="preserve"> Тверской области</w:t>
            </w:r>
            <w:r>
              <w:rPr>
                <w:rFonts w:ascii="XO Thames" w:hAnsi="XO Thames"/>
                <w:sz w:val="24"/>
              </w:rPr>
              <w:t>: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widowControl w:val="1"/>
              <w:numPr>
                <w:ilvl w:val="0"/>
                <w:numId w:val="0"/>
              </w:numPr>
              <w:ind w:firstLine="0" w:left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7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widowControl w:val="1"/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площадь Пролетарская, ул. Луначарского, ул. Карла Маркса (до «Московского» моста)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</w:p>
          <w:p w14:paraId="9E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1</w:t>
            </w:r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widowControl w:val="1"/>
              <w:numPr>
                <w:ilvl w:val="0"/>
                <w:numId w:val="0"/>
              </w:numPr>
              <w:ind w:firstLine="0" w:left="0"/>
              <w:rPr>
                <w:rFonts w:ascii="XO Thames" w:hAnsi="XO Thames"/>
                <w:sz w:val="24"/>
              </w:rPr>
            </w:pPr>
          </w:p>
        </w:tc>
        <w:tc>
          <w:tcPr>
            <w:tcW w:type="dxa" w:w="7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widowControl w:val="1"/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кроме площадь Пролетарская, ул. Луначарского, ул. Карла Маркса (до «Московского» моста)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  <w:shd w:fill="F8D957" w:val="clear"/>
              </w:rPr>
            </w:pPr>
          </w:p>
          <w:p w14:paraId="A2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0,7</w:t>
            </w:r>
          </w:p>
        </w:tc>
      </w:tr>
      <w:tr>
        <w:trPr>
          <w:trHeight w:hRule="atLeast" w:val="768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widowControl w:val="1"/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2.</w:t>
            </w:r>
          </w:p>
        </w:tc>
        <w:tc>
          <w:tcPr>
            <w:tcW w:type="dxa" w:w="7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widowControl w:val="1"/>
              <w:ind w:firstLine="0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Сельские территории Кашинского </w:t>
            </w:r>
            <w:r>
              <w:rPr>
                <w:rFonts w:ascii="XO Thames" w:hAnsi="XO Thames"/>
                <w:sz w:val="24"/>
              </w:rPr>
              <w:t>муниципального</w:t>
            </w:r>
            <w:r>
              <w:rPr>
                <w:rFonts w:ascii="XO Thames" w:hAnsi="XO Thames"/>
                <w:sz w:val="24"/>
              </w:rPr>
              <w:t xml:space="preserve"> округа</w:t>
            </w:r>
            <w:r>
              <w:rPr>
                <w:rFonts w:ascii="XO Thames" w:hAnsi="XO Thames"/>
                <w:sz w:val="24"/>
              </w:rPr>
              <w:t xml:space="preserve"> Тверской области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widowControl w:val="1"/>
              <w:ind w:firstLine="0"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0,5</w:t>
            </w:r>
          </w:p>
        </w:tc>
      </w:tr>
    </w:tbl>
    <w:p w14:paraId="A6000000">
      <w:pPr>
        <w:widowControl w:val="1"/>
        <w:ind w:firstLine="720"/>
        <w:jc w:val="right"/>
        <w:outlineLvl w:val="1"/>
        <w:rPr>
          <w:rFonts w:ascii="XO Thames" w:hAnsi="XO Thames"/>
          <w:sz w:val="24"/>
        </w:rPr>
      </w:pPr>
    </w:p>
    <w:p w14:paraId="A7000000">
      <w:pPr>
        <w:widowControl w:val="1"/>
        <w:ind w:firstLine="720"/>
        <w:jc w:val="right"/>
        <w:outlineLvl w:val="1"/>
        <w:rPr>
          <w:rFonts w:ascii="XO Thames" w:hAnsi="XO Thames"/>
          <w:sz w:val="24"/>
        </w:rPr>
      </w:pPr>
    </w:p>
    <w:p w14:paraId="A8000000">
      <w:pPr>
        <w:widowControl w:val="1"/>
        <w:ind w:firstLine="720"/>
        <w:jc w:val="right"/>
        <w:outlineLvl w:val="1"/>
        <w:rPr>
          <w:rFonts w:ascii="XO Thames" w:hAnsi="XO Thames"/>
          <w:sz w:val="24"/>
        </w:rPr>
      </w:pPr>
    </w:p>
    <w:p w14:paraId="A9000000">
      <w:pPr>
        <w:widowControl w:val="1"/>
        <w:ind w:firstLine="720"/>
        <w:jc w:val="right"/>
        <w:outlineLvl w:val="1"/>
        <w:rPr>
          <w:rFonts w:ascii="XO Thames" w:hAnsi="XO Thames"/>
          <w:sz w:val="24"/>
        </w:rPr>
      </w:pP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720"/>
      </w:pPr>
    </w:lvl>
    <w:lvl w:ilvl="1">
      <w:start w:val="1"/>
      <w:numFmt w:val="lowerLetter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widowControl w:val="1"/>
        <w:ind w:hanging="360" w:left="720"/>
      </w:pPr>
    </w:lvl>
    <w:lvl w:ilvl="1">
      <w:start w:val="1"/>
      <w:numFmt w:val="lowerLetter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MyOffice-CoreFramework-Windows/38-1384.1107.10199.1019.1@2600cfe5f4b542ca5f3c0e142379f873658cd812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2026-02-19T07:10:58Z</dcterms:created>
  <dcterms:modified xsi:type="dcterms:W3CDTF">2026-02-19T07:45:14Z</dcterms:modified>
</cp:coreProperties>
</file>